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38" w:rsidRDefault="00EC0C38" w:rsidP="00513A72">
      <w:pPr>
        <w:pStyle w:val="2"/>
        <w:jc w:val="center"/>
        <w:rPr>
          <w:u w:val="single"/>
        </w:rPr>
      </w:pPr>
      <w:bookmarkStart w:id="0" w:name="_Toc170861837"/>
      <w:r>
        <w:rPr>
          <w:u w:val="single"/>
        </w:rPr>
        <w:t>Технологический расчет</w:t>
      </w:r>
      <w:bookmarkEnd w:id="0"/>
    </w:p>
    <w:p w:rsidR="00513A72" w:rsidRPr="00513A72" w:rsidRDefault="00513A72" w:rsidP="00513A72">
      <w:pPr>
        <w:pStyle w:val="3"/>
        <w:spacing w:before="0" w:after="0"/>
        <w:ind w:firstLine="709"/>
        <w:rPr>
          <w:sz w:val="24"/>
        </w:rPr>
      </w:pPr>
      <w:bookmarkStart w:id="1" w:name="_Toc170861840"/>
      <w:r w:rsidRPr="00513A72">
        <w:rPr>
          <w:sz w:val="24"/>
        </w:rPr>
        <w:t>Описание технологической схемы сборки.</w:t>
      </w:r>
      <w:bookmarkEnd w:id="1"/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>Сборка изделия – дискретный во времени процесс, который состоит из отдельных переходов. Переход – наименьшая законченная часть технологического процесса, выполняемая без перерыва во времени. Упорядоченный набор переходов образует сборочную операцию.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>Первым этапом разработки маршрутного технологического процесса сборки является построение технологической схемы сборки.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 xml:space="preserve">Процесс сборки изделия состоит из операций, выполняемых, не только последовательно, но и параллельно, а иногда и с циклами. 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 xml:space="preserve">На листе технологической части проекта представлена технологическая схема сборки. Технологическая схема сборки является графической интерпретацией процесса сборки изделия. Наиболее ясно и полно отражают технологический процесс сборки схемы с базовой деталью. При построении технологической схемы сборки используются условные обозначения. 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>На условном изображении элемента в нижней половине указывается номер позиции по чертежу; в верхней половине – количество одинаковых элементов. Покупные элементы штрихуются в верхней половине.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 xml:space="preserve">Технологическая схема сборки начинается с изображения базовой детали или базовой сборочной единицы, выполняющей в данной конструкции роль корпуса или основания. В собираемом изделии за базовую деталь примем платформу </w:t>
      </w:r>
      <w:proofErr w:type="spellStart"/>
      <w:r w:rsidRPr="00513A72">
        <w:rPr>
          <w:bCs/>
          <w:sz w:val="24"/>
        </w:rPr>
        <w:t>гиростабилизатора</w:t>
      </w:r>
      <w:proofErr w:type="spellEnd"/>
      <w:r w:rsidRPr="00513A72">
        <w:rPr>
          <w:bCs/>
          <w:sz w:val="24"/>
        </w:rPr>
        <w:t>. Заканчивается схема сборки изображением собранного изделия – наружной рамы.</w:t>
      </w:r>
    </w:p>
    <w:p w:rsidR="00513A72" w:rsidRPr="00513A72" w:rsidRDefault="00513A72" w:rsidP="00513A72">
      <w:pPr>
        <w:ind w:firstLine="709"/>
        <w:rPr>
          <w:bCs/>
          <w:sz w:val="24"/>
        </w:rPr>
      </w:pPr>
      <w:r w:rsidRPr="00513A72">
        <w:rPr>
          <w:bCs/>
          <w:sz w:val="24"/>
        </w:rPr>
        <w:t>Сборочные единицы или детали, собираемые одновременно, присоединяются к линиям сборки в одной точке. Сборочные единицы, формируемые параллельно с основным изделием, строятся на дополнительных линиях сборки; а дополнительные линия сборки подводятся к основной в точке сборки этих сборочных единиц с основным изделием.</w:t>
      </w:r>
    </w:p>
    <w:p w:rsidR="00513A72" w:rsidRPr="009D5F96" w:rsidRDefault="00513A72" w:rsidP="009D5F96">
      <w:pPr>
        <w:ind w:firstLine="709"/>
        <w:rPr>
          <w:bCs/>
          <w:sz w:val="24"/>
        </w:rPr>
      </w:pPr>
      <w:r w:rsidRPr="00513A72">
        <w:rPr>
          <w:bCs/>
          <w:sz w:val="24"/>
        </w:rPr>
        <w:t xml:space="preserve">Процесс сборки заканчивается регулировкой и контролем собранного изделия – наружной рамы </w:t>
      </w:r>
      <w:proofErr w:type="spellStart"/>
      <w:r w:rsidRPr="00513A72">
        <w:rPr>
          <w:bCs/>
          <w:sz w:val="24"/>
        </w:rPr>
        <w:t>гиростабилизатора</w:t>
      </w:r>
      <w:proofErr w:type="spellEnd"/>
      <w:r w:rsidRPr="00513A72">
        <w:rPr>
          <w:bCs/>
          <w:sz w:val="24"/>
        </w:rPr>
        <w:t>.</w:t>
      </w:r>
      <w:bookmarkStart w:id="2" w:name="_GoBack"/>
      <w:bookmarkEnd w:id="2"/>
    </w:p>
    <w:p w:rsidR="00EC0C38" w:rsidRPr="007154D4" w:rsidRDefault="00EC0C38" w:rsidP="00EC0C38">
      <w:pPr>
        <w:pStyle w:val="3"/>
      </w:pPr>
      <w:bookmarkStart w:id="3" w:name="_Toc170861838"/>
      <w:r w:rsidRPr="007154D4">
        <w:t>Определение показателей технологичности конструкции приборов.</w:t>
      </w:r>
      <w:bookmarkEnd w:id="3"/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С целью обеспечения оптимальности затрат ресурсов (производственных средств, времени, и т. д.) на этапе проектирования технологического процесса сборки необходимо </w:t>
      </w:r>
      <w:r w:rsidRPr="003A5CCF">
        <w:rPr>
          <w:sz w:val="24"/>
        </w:rPr>
        <w:lastRenderedPageBreak/>
        <w:t>оценить технологичность конструкции изделия (ТКИ). На ТКИ при сборке влияют разнообразные факторы, важнейшими из которых являются:</w:t>
      </w:r>
    </w:p>
    <w:p w:rsidR="00EC0C38" w:rsidRPr="003A5CCF" w:rsidRDefault="00EC0C38" w:rsidP="003A5CCF">
      <w:pPr>
        <w:numPr>
          <w:ilvl w:val="0"/>
          <w:numId w:val="1"/>
        </w:numPr>
        <w:ind w:left="0" w:firstLine="0"/>
        <w:rPr>
          <w:sz w:val="24"/>
        </w:rPr>
      </w:pPr>
      <w:r w:rsidRPr="003A5CCF">
        <w:rPr>
          <w:sz w:val="24"/>
        </w:rPr>
        <w:t>конструктивно-технологические параметры изделия как объекта производства;</w:t>
      </w:r>
    </w:p>
    <w:p w:rsidR="00EC0C38" w:rsidRPr="003A5CCF" w:rsidRDefault="00EC0C38" w:rsidP="003A5CCF">
      <w:pPr>
        <w:numPr>
          <w:ilvl w:val="0"/>
          <w:numId w:val="1"/>
        </w:numPr>
        <w:ind w:left="0" w:firstLine="0"/>
        <w:rPr>
          <w:sz w:val="24"/>
        </w:rPr>
      </w:pPr>
      <w:r w:rsidRPr="003A5CCF">
        <w:rPr>
          <w:sz w:val="24"/>
        </w:rPr>
        <w:t>тип, техническая и энергетическая вооруженность производства, программа выпуска и характер производства (серийность).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Для характеристики ТКИ используются численные показатели.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Показатели технологичности конструкции приборов разработаны на основании ГОСТ 14201-73, 14202-73, 14203-73, методики </w:t>
      </w:r>
      <w:proofErr w:type="spellStart"/>
      <w:r w:rsidRPr="003A5CCF">
        <w:rPr>
          <w:sz w:val="24"/>
        </w:rPr>
        <w:t>госстандарта</w:t>
      </w:r>
      <w:proofErr w:type="spellEnd"/>
      <w:r w:rsidRPr="003A5CCF">
        <w:rPr>
          <w:sz w:val="24"/>
        </w:rPr>
        <w:t>, ОСТ и обобщения опыта по отработке и оценке технологичности конструкции изделий.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Данные показатели применены к конструкции отдельных функциональных элементов, используемых в САУ и измерительных комплексах. Они определяются на этапе рабочего проектирования и входят в комплект документации на изделие, передаваемое в серийное производство.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Технологичным является такое изделие,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труда, материалов и с наименьшим производственным циклом.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Исходя из этого положения строится методика определения показателей технологичности конструкции приборов. Основная идея методики заключается в том, что технологичная конструкция изделия обеспечивает наибольшую производительность труда, снижение затрат и сокращение времени на проектирование, технологическую подготовку производства, изготовление, техническое обслуживание и ремонт изделия при обеспечении необходимого его качества.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Показатели технологичности используются для: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а) количественной оценки технологичности конструкции прибора перед передачей его в серийное производство;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б) указания конструкторам требований по технологичности при выдаче задания на проектирование нового прибора.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Система показателей содержит: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а) базовые частные коэффициенты, к которым относятся коэффициенты освоенности </w:t>
      </w:r>
      <w:r w:rsidRPr="003A5CCF">
        <w:rPr>
          <w:bCs/>
          <w:i/>
          <w:sz w:val="24"/>
          <w:lang w:val="en-US"/>
        </w:rPr>
        <w:t>K</w:t>
      </w:r>
      <w:proofErr w:type="spellStart"/>
      <w:r w:rsidRPr="003A5CCF">
        <w:rPr>
          <w:bCs/>
          <w:i/>
          <w:sz w:val="24"/>
          <w:vertAlign w:val="subscript"/>
        </w:rPr>
        <w:t>осв</w:t>
      </w:r>
      <w:proofErr w:type="spellEnd"/>
      <w:r w:rsidRPr="003A5CCF">
        <w:rPr>
          <w:i/>
          <w:sz w:val="24"/>
        </w:rPr>
        <w:t>,</w:t>
      </w:r>
      <w:r w:rsidRPr="003A5CCF">
        <w:rPr>
          <w:sz w:val="24"/>
        </w:rPr>
        <w:t xml:space="preserve"> унификации деталей </w:t>
      </w:r>
      <w:proofErr w:type="spellStart"/>
      <w:r w:rsidRPr="003A5CCF">
        <w:rPr>
          <w:bCs/>
          <w:i/>
          <w:sz w:val="24"/>
        </w:rPr>
        <w:t>К</w:t>
      </w:r>
      <w:r w:rsidRPr="003A5CCF">
        <w:rPr>
          <w:bCs/>
          <w:i/>
          <w:sz w:val="24"/>
          <w:vertAlign w:val="subscript"/>
        </w:rPr>
        <w:t>у.д</w:t>
      </w:r>
      <w:proofErr w:type="spellEnd"/>
      <w:r w:rsidRPr="003A5CCF">
        <w:rPr>
          <w:sz w:val="24"/>
        </w:rPr>
        <w:t xml:space="preserve"> и унификации материалов </w:t>
      </w:r>
      <w:proofErr w:type="spellStart"/>
      <w:r w:rsidRPr="003A5CCF">
        <w:rPr>
          <w:bCs/>
          <w:i/>
          <w:sz w:val="24"/>
        </w:rPr>
        <w:t>К</w:t>
      </w:r>
      <w:r w:rsidRPr="003A5CCF">
        <w:rPr>
          <w:bCs/>
          <w:i/>
          <w:sz w:val="24"/>
          <w:vertAlign w:val="subscript"/>
        </w:rPr>
        <w:t>у.м</w:t>
      </w:r>
      <w:proofErr w:type="spellEnd"/>
      <w:r w:rsidRPr="003A5CCF">
        <w:rPr>
          <w:i/>
          <w:sz w:val="24"/>
        </w:rPr>
        <w:t>;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б) комплексный коэффициент технологичности </w:t>
      </w:r>
      <w:proofErr w:type="spellStart"/>
      <w:r w:rsidRPr="003A5CCF">
        <w:rPr>
          <w:bCs/>
          <w:i/>
          <w:sz w:val="24"/>
        </w:rPr>
        <w:t>К</w:t>
      </w:r>
      <w:r w:rsidRPr="003A5CCF">
        <w:rPr>
          <w:bCs/>
          <w:i/>
          <w:sz w:val="24"/>
          <w:vertAlign w:val="subscript"/>
        </w:rPr>
        <w:t>тех</w:t>
      </w:r>
      <w:proofErr w:type="spellEnd"/>
      <w:r w:rsidRPr="003A5CCF">
        <w:rPr>
          <w:sz w:val="24"/>
        </w:rPr>
        <w:t>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Выражения для определения значений всех частных показателей технологичности должны для «идеального» прибора стремиться к 1; фактические значения частных показателей технологичности </w:t>
      </w:r>
      <w:r w:rsidRPr="003A5CCF">
        <w:rPr>
          <w:bCs/>
          <w:i/>
          <w:sz w:val="24"/>
        </w:rPr>
        <w:t>К</w:t>
      </w:r>
      <w:r w:rsidRPr="003A5CCF">
        <w:rPr>
          <w:sz w:val="24"/>
        </w:rPr>
        <w:t xml:space="preserve"> должны находиться в пределах </w:t>
      </w:r>
      <w:r w:rsidRPr="003A5CCF">
        <w:rPr>
          <w:bCs/>
          <w:i/>
          <w:sz w:val="24"/>
        </w:rPr>
        <w:t xml:space="preserve">0 </w:t>
      </w:r>
      <w:proofErr w:type="gramStart"/>
      <w:r w:rsidRPr="003A5CCF">
        <w:rPr>
          <w:bCs/>
          <w:i/>
          <w:sz w:val="24"/>
        </w:rPr>
        <w:t>&lt; К</w:t>
      </w:r>
      <w:proofErr w:type="gramEnd"/>
      <w:r w:rsidRPr="003A5CCF">
        <w:rPr>
          <w:bCs/>
          <w:i/>
          <w:sz w:val="24"/>
        </w:rPr>
        <w:t xml:space="preserve"> &lt; 1</w:t>
      </w:r>
      <w:r w:rsidRPr="003A5CCF">
        <w:rPr>
          <w:sz w:val="24"/>
        </w:rPr>
        <w:t>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lastRenderedPageBreak/>
        <w:t xml:space="preserve">Значения коэффициентов определяются на основе анализа технической документации на изделие (сборочного чертежа и спецификации). Для расчета коэффициентов </w:t>
      </w:r>
      <w:proofErr w:type="spellStart"/>
      <w:r w:rsidRPr="003A5CCF">
        <w:rPr>
          <w:bCs/>
          <w:i/>
          <w:sz w:val="24"/>
        </w:rPr>
        <w:t>К</w:t>
      </w:r>
      <w:r w:rsidRPr="003A5CCF">
        <w:rPr>
          <w:bCs/>
          <w:i/>
          <w:sz w:val="24"/>
          <w:vertAlign w:val="subscript"/>
        </w:rPr>
        <w:t>у.д</w:t>
      </w:r>
      <w:proofErr w:type="spellEnd"/>
      <w:r w:rsidRPr="003A5CCF">
        <w:rPr>
          <w:iCs/>
          <w:sz w:val="24"/>
        </w:rPr>
        <w:t>,</w:t>
      </w:r>
      <w:r w:rsidRPr="003A5CCF">
        <w:rPr>
          <w:bCs/>
          <w:i/>
          <w:sz w:val="24"/>
        </w:rPr>
        <w:t xml:space="preserve"> </w:t>
      </w:r>
      <w:r w:rsidRPr="003A5CCF">
        <w:rPr>
          <w:bCs/>
          <w:i/>
          <w:sz w:val="24"/>
          <w:lang w:val="en-US"/>
        </w:rPr>
        <w:t>K</w:t>
      </w:r>
      <w:proofErr w:type="spellStart"/>
      <w:r w:rsidRPr="003A5CCF">
        <w:rPr>
          <w:bCs/>
          <w:i/>
          <w:sz w:val="24"/>
          <w:vertAlign w:val="subscript"/>
        </w:rPr>
        <w:t>осв</w:t>
      </w:r>
      <w:proofErr w:type="spellEnd"/>
      <w:r w:rsidRPr="003A5CCF">
        <w:rPr>
          <w:sz w:val="24"/>
        </w:rPr>
        <w:t xml:space="preserve"> составляется таблица: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8"/>
        <w:gridCol w:w="1494"/>
        <w:gridCol w:w="1890"/>
        <w:gridCol w:w="1485"/>
        <w:gridCol w:w="1175"/>
        <w:gridCol w:w="1427"/>
      </w:tblGrid>
      <w:tr w:rsidR="00EC0C38" w:rsidRPr="007154D4" w:rsidTr="00EF5ACD">
        <w:trPr>
          <w:cantSplit/>
          <w:trHeight w:hRule="exact" w:val="502"/>
        </w:trPr>
        <w:tc>
          <w:tcPr>
            <w:tcW w:w="10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 xml:space="preserve">Общее количество деталей </w:t>
            </w:r>
            <w:r w:rsidR="00857DF8" w:rsidRPr="003A5CCF">
              <w:rPr>
                <w:sz w:val="24"/>
                <w:szCs w:val="26"/>
              </w:rPr>
              <w:t>(</w:t>
            </w:r>
            <w:r w:rsidRPr="003A5CCF">
              <w:rPr>
                <w:sz w:val="24"/>
                <w:szCs w:val="26"/>
              </w:rPr>
              <w:t>без (крепежных)</w:t>
            </w:r>
          </w:p>
        </w:tc>
        <w:tc>
          <w:tcPr>
            <w:tcW w:w="32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В том числе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Количество крепежных деталей</w:t>
            </w:r>
          </w:p>
        </w:tc>
      </w:tr>
      <w:tr w:rsidR="00EC0C38" w:rsidRPr="007154D4" w:rsidTr="00EF5ACD">
        <w:trPr>
          <w:cantSplit/>
          <w:trHeight w:hRule="exact" w:val="960"/>
        </w:trPr>
        <w:tc>
          <w:tcPr>
            <w:tcW w:w="10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rPr>
                <w:sz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собственные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заимствованные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стандартные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pStyle w:val="a3"/>
              <w:jc w:val="center"/>
              <w:rPr>
                <w:sz w:val="24"/>
                <w:szCs w:val="26"/>
              </w:rPr>
            </w:pPr>
            <w:r w:rsidRPr="003A5CCF">
              <w:rPr>
                <w:sz w:val="24"/>
                <w:szCs w:val="26"/>
              </w:rPr>
              <w:t>покупные</w:t>
            </w:r>
          </w:p>
        </w:tc>
        <w:tc>
          <w:tcPr>
            <w:tcW w:w="76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rPr>
                <w:b/>
                <w:bCs/>
                <w:sz w:val="24"/>
              </w:rPr>
            </w:pPr>
          </w:p>
        </w:tc>
      </w:tr>
      <w:tr w:rsidR="00EC0C38" w:rsidRPr="007154D4" w:rsidTr="00EF5ACD">
        <w:trPr>
          <w:trHeight w:hRule="exact" w:val="380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5B6B0E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r w:rsidRPr="003A5CCF">
              <w:rPr>
                <w:bCs/>
                <w:sz w:val="24"/>
                <w:vertAlign w:val="subscript"/>
                <w:lang w:val="en-US"/>
              </w:rPr>
              <w:sym w:font="Symbol" w:char="F053"/>
            </w:r>
            <w:r w:rsidRPr="003A5CCF">
              <w:rPr>
                <w:bCs/>
                <w:sz w:val="24"/>
              </w:rPr>
              <w:t>=</w:t>
            </w:r>
            <w:r w:rsidR="005B6B0E" w:rsidRPr="003A5CCF">
              <w:rPr>
                <w:bCs/>
                <w:sz w:val="24"/>
              </w:rPr>
              <w:t>24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5B6B0E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сб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EF5ACD" w:rsidRPr="003A5CCF">
              <w:rPr>
                <w:bCs/>
                <w:sz w:val="24"/>
              </w:rPr>
              <w:t>1</w:t>
            </w:r>
            <w:r w:rsidR="005B6B0E" w:rsidRPr="003A5CCF">
              <w:rPr>
                <w:bCs/>
                <w:sz w:val="24"/>
              </w:rPr>
              <w:t>4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F5ACD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зм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EF5ACD" w:rsidRPr="003A5CCF">
              <w:rPr>
                <w:bCs/>
                <w:sz w:val="24"/>
              </w:rPr>
              <w:t>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5B6B0E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ст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5B6B0E" w:rsidRPr="003A5CCF">
              <w:rPr>
                <w:bCs/>
                <w:sz w:val="24"/>
              </w:rPr>
              <w:t>2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F5ACD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r w:rsidRPr="003A5CCF">
              <w:rPr>
                <w:bCs/>
                <w:sz w:val="24"/>
                <w:vertAlign w:val="subscript"/>
              </w:rPr>
              <w:t>п</w:t>
            </w:r>
            <w:r w:rsidRPr="003A5CCF">
              <w:rPr>
                <w:bCs/>
                <w:sz w:val="24"/>
              </w:rPr>
              <w:t>=</w:t>
            </w:r>
            <w:r w:rsidR="00EF5ACD" w:rsidRPr="003A5CCF">
              <w:rPr>
                <w:bCs/>
                <w:sz w:val="24"/>
              </w:rPr>
              <w:t>6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E63007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кр</w:t>
            </w:r>
            <w:proofErr w:type="spellEnd"/>
            <w:r w:rsidRPr="003A5CCF">
              <w:rPr>
                <w:bCs/>
                <w:sz w:val="24"/>
              </w:rPr>
              <w:t>=18</w:t>
            </w:r>
          </w:p>
        </w:tc>
      </w:tr>
      <w:tr w:rsidR="00EC0C38" w:rsidRPr="007154D4" w:rsidTr="00EF5ACD">
        <w:trPr>
          <w:trHeight w:hRule="exact" w:val="440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AF1D94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r w:rsidRPr="003A5CCF">
              <w:rPr>
                <w:bCs/>
                <w:sz w:val="24"/>
                <w:vertAlign w:val="subscript"/>
                <w:lang w:val="en-US"/>
              </w:rPr>
              <w:sym w:font="Symbol" w:char="F053"/>
            </w:r>
            <w:r w:rsidRPr="003A5CCF">
              <w:rPr>
                <w:bCs/>
                <w:sz w:val="24"/>
              </w:rPr>
              <w:t>=</w:t>
            </w:r>
            <w:r w:rsidR="00AF1D94" w:rsidRPr="003A5CCF">
              <w:rPr>
                <w:bCs/>
                <w:sz w:val="24"/>
              </w:rPr>
              <w:t>34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933AEB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сб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933AEB" w:rsidRPr="003A5CCF">
              <w:rPr>
                <w:bCs/>
                <w:sz w:val="24"/>
              </w:rPr>
              <w:t>19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933AEB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зм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933AEB" w:rsidRPr="003A5CCF">
              <w:rPr>
                <w:bCs/>
                <w:sz w:val="24"/>
              </w:rPr>
              <w:t>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933AEB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ст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933AEB" w:rsidRPr="003A5CCF">
              <w:rPr>
                <w:bCs/>
                <w:sz w:val="24"/>
              </w:rPr>
              <w:t>4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933AEB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r w:rsidRPr="003A5CCF">
              <w:rPr>
                <w:bCs/>
                <w:sz w:val="24"/>
                <w:vertAlign w:val="subscript"/>
              </w:rPr>
              <w:t>п</w:t>
            </w:r>
            <w:r w:rsidRPr="003A5CCF">
              <w:rPr>
                <w:bCs/>
                <w:sz w:val="24"/>
              </w:rPr>
              <w:t>=</w:t>
            </w:r>
            <w:r w:rsidR="00933AEB" w:rsidRPr="003A5CCF">
              <w:rPr>
                <w:bCs/>
                <w:sz w:val="24"/>
              </w:rPr>
              <w:t>7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C38" w:rsidRPr="003A5CCF" w:rsidRDefault="00EC0C38" w:rsidP="003F0853">
            <w:pPr>
              <w:jc w:val="center"/>
              <w:rPr>
                <w:bCs/>
                <w:sz w:val="24"/>
              </w:rPr>
            </w:pPr>
            <w:r w:rsidRPr="003A5CCF">
              <w:rPr>
                <w:bCs/>
                <w:sz w:val="24"/>
                <w:lang w:val="en-US"/>
              </w:rPr>
              <w:t>N</w:t>
            </w:r>
            <w:proofErr w:type="spellStart"/>
            <w:r w:rsidRPr="003A5CCF">
              <w:rPr>
                <w:bCs/>
                <w:sz w:val="24"/>
                <w:vertAlign w:val="subscript"/>
              </w:rPr>
              <w:t>кр</w:t>
            </w:r>
            <w:proofErr w:type="spellEnd"/>
            <w:r w:rsidRPr="003A5CCF">
              <w:rPr>
                <w:bCs/>
                <w:sz w:val="24"/>
              </w:rPr>
              <w:t>=</w:t>
            </w:r>
            <w:r w:rsidR="003F0853" w:rsidRPr="003A5CCF">
              <w:rPr>
                <w:bCs/>
                <w:sz w:val="24"/>
              </w:rPr>
              <w:t>102</w:t>
            </w:r>
          </w:p>
        </w:tc>
      </w:tr>
    </w:tbl>
    <w:p w:rsidR="00674783" w:rsidRDefault="00674783" w:rsidP="003A5CCF">
      <w:pPr>
        <w:ind w:firstLine="709"/>
        <w:rPr>
          <w:sz w:val="24"/>
        </w:rPr>
      </w:pP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 xml:space="preserve">В таблице </w:t>
      </w:r>
      <w:r w:rsidRPr="003A5CCF">
        <w:rPr>
          <w:sz w:val="24"/>
        </w:rPr>
        <w:tab/>
      </w:r>
      <w:r w:rsidRPr="003A5CCF">
        <w:rPr>
          <w:sz w:val="24"/>
          <w:lang w:val="en-US"/>
        </w:rPr>
        <w:t>n</w:t>
      </w:r>
      <w:r w:rsidRPr="003A5CCF">
        <w:rPr>
          <w:i/>
          <w:sz w:val="24"/>
        </w:rPr>
        <w:t xml:space="preserve"> –</w:t>
      </w:r>
      <w:r w:rsidRPr="003A5CCF">
        <w:rPr>
          <w:sz w:val="24"/>
        </w:rPr>
        <w:t xml:space="preserve"> число наименований деталей в изделии;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i/>
          <w:sz w:val="24"/>
        </w:rPr>
        <w:t>N –</w:t>
      </w:r>
      <w:r w:rsidRPr="003A5CCF">
        <w:rPr>
          <w:sz w:val="24"/>
        </w:rPr>
        <w:t xml:space="preserve"> общее число деталей в изделии.</w:t>
      </w:r>
    </w:p>
    <w:p w:rsidR="00EC0C38" w:rsidRPr="003A5CCF" w:rsidRDefault="00EC0C38" w:rsidP="003A5CCF">
      <w:pPr>
        <w:ind w:firstLine="709"/>
        <w:rPr>
          <w:sz w:val="24"/>
        </w:rPr>
      </w:pPr>
      <w:r w:rsidRPr="003A5CCF">
        <w:rPr>
          <w:sz w:val="24"/>
        </w:rPr>
        <w:t>Коэффициенты освоенности прибора и унификации его деталей определяются по формулам:</w:t>
      </w:r>
    </w:p>
    <w:p w:rsidR="00AF1D94" w:rsidRPr="009D529E" w:rsidRDefault="00AF1D94" w:rsidP="003A5CCF">
      <w:pPr>
        <w:jc w:val="center"/>
      </w:pPr>
      <w:r w:rsidRPr="00AF1D94">
        <w:rPr>
          <w:position w:val="-30"/>
        </w:rPr>
        <w:object w:dxaOrig="3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33.75pt" o:ole="">
            <v:imagedata r:id="rId8" o:title=""/>
          </v:shape>
          <o:OLEObject Type="Embed" ProgID="Equation.DSMT4" ShapeID="_x0000_i1025" DrawAspect="Content" ObjectID="_1494654296" r:id="rId9"/>
        </w:object>
      </w:r>
    </w:p>
    <w:p w:rsidR="00AF1D94" w:rsidRPr="009D529E" w:rsidRDefault="00AF1D94" w:rsidP="003A5CCF">
      <w:pPr>
        <w:jc w:val="center"/>
      </w:pPr>
      <w:r w:rsidRPr="00AF1D94">
        <w:rPr>
          <w:position w:val="-32"/>
          <w:lang w:val="en-US"/>
        </w:rPr>
        <w:object w:dxaOrig="3940" w:dyaOrig="740">
          <v:shape id="_x0000_i1026" type="#_x0000_t75" style="width:197.25pt;height:36.75pt" o:ole="">
            <v:imagedata r:id="rId10" o:title=""/>
          </v:shape>
          <o:OLEObject Type="Embed" ProgID="Equation.DSMT4" ShapeID="_x0000_i1026" DrawAspect="Content" ObjectID="_1494654297" r:id="rId11"/>
        </w:objec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Примечания: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1. К стандартным относятся детали, охваченные ГОСТом и ОСТом, отраслевой нормалью.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2. К заимствованным относятся детали, взятые из других аналогичных разработок, и детали, изготовляемые по стандартам предприятий (СТП).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3. К собственным относятся детали, которые применяются только в данном приборе и на которые разработаны чертежи в проекте на прибор.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4. Сборочные единицы, полученные армированным литьем или прессованием из пластмасс, принимаются за одну деталь.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5. К крепежным деталям относятся гайки, винты, болты, шпильки, заклепки и т.п., а также монтажные провода, товарные знаки, изоляционные прокладки и т.п.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 xml:space="preserve">Коэффициент унификации материалов </w:t>
      </w:r>
      <w:proofErr w:type="spellStart"/>
      <w:r w:rsidRPr="00674783">
        <w:rPr>
          <w:bCs/>
          <w:i/>
          <w:sz w:val="24"/>
        </w:rPr>
        <w:t>К</w:t>
      </w:r>
      <w:r w:rsidRPr="00674783">
        <w:rPr>
          <w:bCs/>
          <w:i/>
          <w:sz w:val="24"/>
          <w:vertAlign w:val="subscript"/>
        </w:rPr>
        <w:t>у.м</w:t>
      </w:r>
      <w:proofErr w:type="spellEnd"/>
      <w:r w:rsidRPr="00674783">
        <w:rPr>
          <w:bCs/>
          <w:i/>
          <w:sz w:val="24"/>
          <w:vertAlign w:val="subscript"/>
        </w:rPr>
        <w:t>.</w:t>
      </w:r>
      <w:r w:rsidRPr="00674783">
        <w:rPr>
          <w:sz w:val="24"/>
        </w:rPr>
        <w:t xml:space="preserve"> определяется только для собственных деталей прибора по формуле</w:t>
      </w:r>
      <w:r w:rsidR="00674783" w:rsidRPr="00674783">
        <w:rPr>
          <w:sz w:val="24"/>
        </w:rPr>
        <w:t>:</w:t>
      </w:r>
    </w:p>
    <w:p w:rsidR="00EC0C38" w:rsidRPr="009D529E" w:rsidRDefault="008E1188" w:rsidP="00674783">
      <w:pPr>
        <w:jc w:val="center"/>
      </w:pPr>
      <w:r w:rsidRPr="009D529E">
        <w:pict>
          <v:shape id="_x0000_i1027" type="#_x0000_t75" style="width:69.75pt;height:35.25pt">
            <v:imagedata r:id="rId12" o:title=""/>
          </v:shape>
        </w:pic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где</w:t>
      </w:r>
      <w:r w:rsidRPr="009D529E">
        <w:t xml:space="preserve"> </w:t>
      </w:r>
      <w:proofErr w:type="gramStart"/>
      <w:r w:rsidRPr="009D529E">
        <w:rPr>
          <w:bCs/>
          <w:i/>
          <w:iCs/>
        </w:rPr>
        <w:t>С</w:t>
      </w:r>
      <w:proofErr w:type="gramEnd"/>
      <w:r w:rsidRPr="009D529E">
        <w:rPr>
          <w:bCs/>
          <w:i/>
          <w:iCs/>
          <w:vertAlign w:val="subscript"/>
        </w:rPr>
        <w:sym w:font="Symbol" w:char="F053"/>
      </w:r>
      <w:r w:rsidRPr="009D529E">
        <w:t xml:space="preserve"> – </w:t>
      </w:r>
      <w:r w:rsidRPr="00674783">
        <w:rPr>
          <w:sz w:val="24"/>
        </w:rPr>
        <w:t xml:space="preserve">количество </w:t>
      </w:r>
      <w:proofErr w:type="spellStart"/>
      <w:r w:rsidRPr="00674783">
        <w:rPr>
          <w:sz w:val="24"/>
        </w:rPr>
        <w:t>сорторазмеров</w:t>
      </w:r>
      <w:proofErr w:type="spellEnd"/>
      <w:r w:rsidRPr="00674783">
        <w:rPr>
          <w:sz w:val="24"/>
        </w:rPr>
        <w:t xml:space="preserve"> материалов для изготовления собственных деталей прибора;</w:t>
      </w: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lastRenderedPageBreak/>
        <w:t xml:space="preserve">где </w:t>
      </w:r>
      <w:r w:rsidRPr="00674783">
        <w:rPr>
          <w:bCs/>
          <w:i/>
          <w:iCs/>
          <w:sz w:val="24"/>
          <w:lang w:val="en-US"/>
        </w:rPr>
        <w:t>n</w:t>
      </w:r>
      <w:proofErr w:type="spellStart"/>
      <w:r w:rsidRPr="00674783">
        <w:rPr>
          <w:bCs/>
          <w:i/>
          <w:iCs/>
          <w:sz w:val="24"/>
          <w:vertAlign w:val="subscript"/>
        </w:rPr>
        <w:t>сб</w:t>
      </w:r>
      <w:proofErr w:type="spellEnd"/>
      <w:r w:rsidRPr="00674783">
        <w:rPr>
          <w:sz w:val="24"/>
        </w:rPr>
        <w:t xml:space="preserve"> – общее число наименований собственных деталей прибора.</w:t>
      </w:r>
    </w:p>
    <w:p w:rsidR="00EC0C38" w:rsidRPr="00674783" w:rsidRDefault="00EC0C38" w:rsidP="00674783">
      <w:pPr>
        <w:ind w:firstLine="709"/>
        <w:rPr>
          <w:sz w:val="24"/>
        </w:rPr>
      </w:pPr>
      <w:proofErr w:type="spellStart"/>
      <w:r w:rsidRPr="00674783">
        <w:rPr>
          <w:sz w:val="24"/>
        </w:rPr>
        <w:t>Сорторазмер</w:t>
      </w:r>
      <w:proofErr w:type="spellEnd"/>
      <w:r w:rsidRPr="00674783">
        <w:rPr>
          <w:sz w:val="24"/>
        </w:rPr>
        <w:t xml:space="preserve"> обусловлен маркой материала и определяющим размером. Для определения </w:t>
      </w:r>
      <w:proofErr w:type="spellStart"/>
      <w:r w:rsidRPr="00674783">
        <w:rPr>
          <w:i/>
          <w:sz w:val="24"/>
        </w:rPr>
        <w:t>К</w:t>
      </w:r>
      <w:r w:rsidRPr="00674783">
        <w:rPr>
          <w:i/>
          <w:sz w:val="24"/>
          <w:vertAlign w:val="subscript"/>
        </w:rPr>
        <w:t>у.м</w:t>
      </w:r>
      <w:proofErr w:type="spellEnd"/>
      <w:r w:rsidRPr="00674783">
        <w:rPr>
          <w:i/>
          <w:sz w:val="24"/>
          <w:vertAlign w:val="subscript"/>
        </w:rPr>
        <w:t>.</w:t>
      </w:r>
      <w:r w:rsidRPr="00674783">
        <w:rPr>
          <w:sz w:val="24"/>
        </w:rPr>
        <w:t xml:space="preserve"> составляется таблица: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0"/>
        <w:gridCol w:w="859"/>
        <w:gridCol w:w="975"/>
        <w:gridCol w:w="1449"/>
        <w:gridCol w:w="1324"/>
        <w:gridCol w:w="1077"/>
        <w:gridCol w:w="771"/>
      </w:tblGrid>
      <w:tr w:rsidR="00EC0C38" w:rsidRPr="00674783" w:rsidTr="00E63007">
        <w:trPr>
          <w:cantSplit/>
          <w:trHeight w:hRule="exact" w:val="300"/>
          <w:jc w:val="center"/>
        </w:trPr>
        <w:tc>
          <w:tcPr>
            <w:tcW w:w="1562" w:type="pct"/>
            <w:vMerge w:val="restar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Количество</w:t>
            </w:r>
          </w:p>
        </w:tc>
        <w:tc>
          <w:tcPr>
            <w:tcW w:w="1728" w:type="pct"/>
            <w:gridSpan w:val="3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Металлы</w:t>
            </w:r>
          </w:p>
        </w:tc>
        <w:tc>
          <w:tcPr>
            <w:tcW w:w="710" w:type="pct"/>
            <w:vMerge w:val="restar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Пластмассы</w:t>
            </w:r>
          </w:p>
        </w:tc>
        <w:tc>
          <w:tcPr>
            <w:tcW w:w="580" w:type="pct"/>
            <w:vMerge w:val="restar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Керамика</w:t>
            </w:r>
          </w:p>
        </w:tc>
        <w:tc>
          <w:tcPr>
            <w:tcW w:w="419" w:type="pct"/>
            <w:vMerge w:val="restar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Сумма</w:t>
            </w:r>
          </w:p>
        </w:tc>
      </w:tr>
      <w:tr w:rsidR="00EC0C38" w:rsidRPr="00674783" w:rsidTr="00E63007">
        <w:trPr>
          <w:cantSplit/>
          <w:trHeight w:hRule="exact" w:val="420"/>
          <w:jc w:val="center"/>
        </w:trPr>
        <w:tc>
          <w:tcPr>
            <w:tcW w:w="1562" w:type="pct"/>
            <w:vMerge/>
            <w:vAlign w:val="center"/>
          </w:tcPr>
          <w:p w:rsidR="00EC0C38" w:rsidRPr="00674783" w:rsidRDefault="00EC0C38" w:rsidP="00E63007">
            <w:pPr>
              <w:rPr>
                <w:sz w:val="24"/>
              </w:rPr>
            </w:pPr>
          </w:p>
        </w:tc>
        <w:tc>
          <w:tcPr>
            <w:tcW w:w="447" w:type="pc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Черные</w:t>
            </w:r>
          </w:p>
        </w:tc>
        <w:tc>
          <w:tcPr>
            <w:tcW w:w="526" w:type="pc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Цветные</w:t>
            </w:r>
          </w:p>
        </w:tc>
        <w:tc>
          <w:tcPr>
            <w:tcW w:w="754" w:type="pct"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  <w:r w:rsidRPr="00674783">
              <w:rPr>
                <w:sz w:val="24"/>
              </w:rPr>
              <w:t>Драгоценные</w:t>
            </w:r>
          </w:p>
        </w:tc>
        <w:tc>
          <w:tcPr>
            <w:tcW w:w="710" w:type="pct"/>
            <w:vMerge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</w:p>
        </w:tc>
        <w:tc>
          <w:tcPr>
            <w:tcW w:w="580" w:type="pct"/>
            <w:vMerge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</w:p>
        </w:tc>
        <w:tc>
          <w:tcPr>
            <w:tcW w:w="419" w:type="pct"/>
            <w:vMerge/>
            <w:vAlign w:val="center"/>
          </w:tcPr>
          <w:p w:rsidR="00EC0C38" w:rsidRPr="00674783" w:rsidRDefault="00EC0C38" w:rsidP="00E63007">
            <w:pPr>
              <w:jc w:val="center"/>
              <w:rPr>
                <w:sz w:val="24"/>
              </w:rPr>
            </w:pPr>
          </w:p>
        </w:tc>
      </w:tr>
      <w:tr w:rsidR="00EC0C38" w:rsidRPr="00674783" w:rsidTr="00E63007">
        <w:trPr>
          <w:trHeight w:hRule="exact" w:val="480"/>
          <w:jc w:val="center"/>
        </w:trPr>
        <w:tc>
          <w:tcPr>
            <w:tcW w:w="1562" w:type="pct"/>
            <w:vAlign w:val="center"/>
          </w:tcPr>
          <w:p w:rsidR="00EC0C38" w:rsidRPr="00674783" w:rsidRDefault="00EC0C38" w:rsidP="00E63007">
            <w:pPr>
              <w:jc w:val="right"/>
              <w:rPr>
                <w:sz w:val="24"/>
              </w:rPr>
            </w:pPr>
            <w:proofErr w:type="spellStart"/>
            <w:r w:rsidRPr="00674783">
              <w:rPr>
                <w:sz w:val="24"/>
              </w:rPr>
              <w:t>Сорторазмеров</w:t>
            </w:r>
            <w:proofErr w:type="spellEnd"/>
            <w:r w:rsidRPr="00674783">
              <w:rPr>
                <w:sz w:val="24"/>
              </w:rPr>
              <w:t xml:space="preserve"> материалов</w:t>
            </w:r>
          </w:p>
        </w:tc>
        <w:tc>
          <w:tcPr>
            <w:tcW w:w="447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1</w:t>
            </w:r>
          </w:p>
        </w:tc>
        <w:tc>
          <w:tcPr>
            <w:tcW w:w="526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1</w:t>
            </w:r>
          </w:p>
        </w:tc>
        <w:tc>
          <w:tcPr>
            <w:tcW w:w="754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710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580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419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2</w:t>
            </w:r>
          </w:p>
        </w:tc>
      </w:tr>
      <w:tr w:rsidR="00EC0C38" w:rsidRPr="00674783" w:rsidTr="00E63007">
        <w:trPr>
          <w:trHeight w:hRule="exact" w:val="480"/>
          <w:jc w:val="center"/>
        </w:trPr>
        <w:tc>
          <w:tcPr>
            <w:tcW w:w="1562" w:type="pct"/>
            <w:vAlign w:val="center"/>
          </w:tcPr>
          <w:p w:rsidR="00EC0C38" w:rsidRPr="00674783" w:rsidRDefault="00EC0C38" w:rsidP="00E63007">
            <w:pPr>
              <w:jc w:val="right"/>
              <w:rPr>
                <w:sz w:val="24"/>
              </w:rPr>
            </w:pPr>
            <w:r w:rsidRPr="00674783">
              <w:rPr>
                <w:sz w:val="24"/>
              </w:rPr>
              <w:t>Собственных деталей</w:t>
            </w:r>
          </w:p>
        </w:tc>
        <w:tc>
          <w:tcPr>
            <w:tcW w:w="447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3</w:t>
            </w:r>
          </w:p>
        </w:tc>
        <w:tc>
          <w:tcPr>
            <w:tcW w:w="526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12</w:t>
            </w:r>
          </w:p>
        </w:tc>
        <w:tc>
          <w:tcPr>
            <w:tcW w:w="754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710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580" w:type="pct"/>
            <w:vAlign w:val="center"/>
          </w:tcPr>
          <w:p w:rsidR="00EC0C38" w:rsidRPr="00674783" w:rsidRDefault="00EC0C38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–</w:t>
            </w:r>
          </w:p>
        </w:tc>
        <w:tc>
          <w:tcPr>
            <w:tcW w:w="419" w:type="pct"/>
            <w:vAlign w:val="center"/>
          </w:tcPr>
          <w:p w:rsidR="00EC0C38" w:rsidRPr="00674783" w:rsidRDefault="00267C05" w:rsidP="00E63007">
            <w:pPr>
              <w:jc w:val="center"/>
              <w:rPr>
                <w:bCs/>
                <w:sz w:val="24"/>
              </w:rPr>
            </w:pPr>
            <w:r w:rsidRPr="00674783">
              <w:rPr>
                <w:bCs/>
                <w:sz w:val="24"/>
              </w:rPr>
              <w:t>15</w:t>
            </w:r>
          </w:p>
        </w:tc>
      </w:tr>
    </w:tbl>
    <w:p w:rsidR="00EE336B" w:rsidRDefault="00EE336B" w:rsidP="00674783">
      <w:pPr>
        <w:ind w:firstLine="709"/>
        <w:rPr>
          <w:sz w:val="24"/>
        </w:rPr>
      </w:pPr>
    </w:p>
    <w:p w:rsidR="00EC0C38" w:rsidRPr="00674783" w:rsidRDefault="00EC0C38" w:rsidP="00674783">
      <w:pPr>
        <w:ind w:firstLine="709"/>
        <w:rPr>
          <w:sz w:val="24"/>
        </w:rPr>
      </w:pPr>
      <w:r w:rsidRPr="00674783">
        <w:rPr>
          <w:sz w:val="24"/>
        </w:rPr>
        <w:t>Тогда коэффициент унификации материалов</w:t>
      </w:r>
    </w:p>
    <w:p w:rsidR="001D7B5D" w:rsidRPr="00196172" w:rsidRDefault="001D7B5D" w:rsidP="00674783">
      <w:pPr>
        <w:jc w:val="center"/>
        <w:rPr>
          <w:b/>
        </w:rPr>
      </w:pPr>
      <w:r w:rsidRPr="001D7B5D">
        <w:rPr>
          <w:b/>
          <w:position w:val="-30"/>
        </w:rPr>
        <w:object w:dxaOrig="2740" w:dyaOrig="680">
          <v:shape id="_x0000_i1028" type="#_x0000_t75" style="width:137.25pt;height:33.75pt" o:ole="">
            <v:imagedata r:id="rId13" o:title=""/>
          </v:shape>
          <o:OLEObject Type="Embed" ProgID="Equation.DSMT4" ShapeID="_x0000_i1028" DrawAspect="Content" ObjectID="_1494654298" r:id="rId14"/>
        </w:object>
      </w:r>
    </w:p>
    <w:p w:rsidR="00EC0C38" w:rsidRPr="00133985" w:rsidRDefault="00EC0C38" w:rsidP="00133985">
      <w:pPr>
        <w:ind w:firstLine="709"/>
        <w:rPr>
          <w:sz w:val="24"/>
        </w:rPr>
      </w:pPr>
      <w:r w:rsidRPr="00133985">
        <w:rPr>
          <w:sz w:val="24"/>
        </w:rPr>
        <w:t>Комплексный коэффициент технологичности определяется как произведение базовых частных коэффициентов</w:t>
      </w:r>
    </w:p>
    <w:p w:rsidR="00EC0C38" w:rsidRPr="009816D8" w:rsidRDefault="009816D8" w:rsidP="00133985">
      <w:pPr>
        <w:jc w:val="center"/>
        <w:rPr>
          <w:b/>
        </w:rPr>
      </w:pPr>
      <w:r w:rsidRPr="009816D8">
        <w:rPr>
          <w:b/>
          <w:bCs/>
          <w:position w:val="-14"/>
        </w:rPr>
        <w:object w:dxaOrig="4640" w:dyaOrig="380">
          <v:shape id="_x0000_i1029" type="#_x0000_t75" style="width:231.75pt;height:18.75pt" o:ole="">
            <v:imagedata r:id="rId15" o:title=""/>
          </v:shape>
          <o:OLEObject Type="Embed" ProgID="Equation.DSMT4" ShapeID="_x0000_i1029" DrawAspect="Content" ObjectID="_1494654299" r:id="rId16"/>
        </w:object>
      </w:r>
    </w:p>
    <w:p w:rsidR="00EC0C38" w:rsidRPr="0039340A" w:rsidRDefault="00EC0C38" w:rsidP="00EC0C38">
      <w:pPr>
        <w:pStyle w:val="3"/>
      </w:pPr>
      <w:bookmarkStart w:id="4" w:name="_Toc170861839"/>
      <w:r w:rsidRPr="0039340A">
        <w:t>Расчёт размерной цепи</w:t>
      </w:r>
      <w:bookmarkEnd w:id="4"/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i/>
          <w:iCs/>
          <w:sz w:val="24"/>
        </w:rPr>
        <w:t>Размерная цепь</w:t>
      </w:r>
      <w:r w:rsidRPr="00133985">
        <w:rPr>
          <w:bCs/>
          <w:sz w:val="24"/>
        </w:rPr>
        <w:t xml:space="preserve"> – это замкнутая система взаимосвязанных размеров, относящихся к одной или нескольким деталям, определяющим относительное положение поверхностей или осей этих деталей. Размерная цепь, выражающая взаимную связь деталей сборочного соединения, называется </w:t>
      </w:r>
      <w:r w:rsidRPr="00133985">
        <w:rPr>
          <w:bCs/>
          <w:i/>
          <w:iCs/>
          <w:sz w:val="24"/>
        </w:rPr>
        <w:t>сборочной размерной цепью</w:t>
      </w:r>
      <w:r w:rsidRPr="00133985">
        <w:rPr>
          <w:bCs/>
          <w:sz w:val="24"/>
        </w:rPr>
        <w:t>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i/>
          <w:iCs/>
          <w:sz w:val="24"/>
        </w:rPr>
        <w:t xml:space="preserve">Звеном </w:t>
      </w:r>
      <w:r w:rsidRPr="00133985">
        <w:rPr>
          <w:bCs/>
          <w:sz w:val="24"/>
        </w:rPr>
        <w:t>размерной цепи называют размер, определяющий расстояние между поверхностями (осями) или их угловое расположение.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i/>
          <w:iCs/>
          <w:sz w:val="24"/>
        </w:rPr>
        <w:t>Замыкающее звено</w:t>
      </w:r>
      <w:r w:rsidRPr="00133985">
        <w:rPr>
          <w:bCs/>
          <w:sz w:val="24"/>
        </w:rPr>
        <w:t xml:space="preserve"> - это звено размерной цепи, которое в процессе сборки формируется в последнюю очередь, замыкая размерную цепь. Размер замыкающего звена зависит от размеров остальных звеньев размерной цепи, называемых составляющими.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 xml:space="preserve">Чаще всего замыкающим звеном является размер детали-компенсатора.  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>После определения замыкающего звена оставшиеся звенья размерной цепи в зависимости от их влияния на замыкающее звено подразделяют на увеличивающие и уменьшающие размеры.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 xml:space="preserve">Увеличивающие размеры – размеры, с увеличением которых замыкающий размер увеличивается. 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 xml:space="preserve">Уменьшающие размеры – размеры, с увеличением которых замыкающий размер уменьшается. 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lastRenderedPageBreak/>
        <w:t>Задачей расчёта размерных цепей является обеспечение заданной точности замыкающего звена.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>Существует два основных метода расчёта размерной цепи.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i/>
          <w:iCs/>
          <w:sz w:val="24"/>
        </w:rPr>
        <w:t>Расчёт по методу максимума – минимума</w:t>
      </w:r>
      <w:r w:rsidRPr="00133985">
        <w:rPr>
          <w:bCs/>
          <w:sz w:val="24"/>
        </w:rPr>
        <w:t>. Предполагается, что все детали, входящие в сборочную единицу, имеют предельные максимальные и минимальные отклонения от номиналов и сборку производят при самом неблагоприятном сочетании размеров деталей, т.е. когда максимальные предельные ошибки складываются.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i/>
          <w:iCs/>
          <w:sz w:val="24"/>
        </w:rPr>
        <w:t>Расчёт на основе теории вероятностей.</w:t>
      </w:r>
      <w:r w:rsidRPr="00133985">
        <w:rPr>
          <w:bCs/>
          <w:sz w:val="24"/>
        </w:rPr>
        <w:t xml:space="preserve"> Считают, что все размеры деталей партии являются случайными величинами и имеют рассеяние фактических значений в пределах поля допуска.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 xml:space="preserve">Поскольку количество деталей, имеющих размеры на границах допуска, невелико, то при расчёте на основе теории вероятностей даётся более широкий допуск на изготовление деталей, чем расчёте на максимум – минимум. Расширение допуска приводит к некоторому риску – из некоторых деталей данной партии не удастся собрать узел, поскольку условие взаимозаменяемости для них не оказывается невыполнимым.  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>На листе технологической части проекта представлена размерная цепь для расчёта размера компенсационной прокладки.</w:t>
      </w:r>
    </w:p>
    <w:p w:rsidR="00EC0C38" w:rsidRPr="00133985" w:rsidRDefault="00EC0C38" w:rsidP="00133985">
      <w:pPr>
        <w:ind w:firstLine="709"/>
        <w:rPr>
          <w:bCs/>
          <w:sz w:val="24"/>
        </w:rPr>
      </w:pPr>
      <w:r w:rsidRPr="00133985">
        <w:rPr>
          <w:bCs/>
          <w:sz w:val="24"/>
        </w:rPr>
        <w:t>Рассчитаем размерную цепь по методу максимума – минимума.</w:t>
      </w:r>
    </w:p>
    <w:p w:rsidR="000B7C9E" w:rsidRPr="00EE336B" w:rsidRDefault="00EC0C38" w:rsidP="00EE336B">
      <w:pPr>
        <w:ind w:firstLine="709"/>
        <w:rPr>
          <w:bCs/>
          <w:sz w:val="24"/>
        </w:rPr>
      </w:pPr>
      <w:r w:rsidRPr="00133985">
        <w:rPr>
          <w:bCs/>
          <w:sz w:val="24"/>
        </w:rPr>
        <w:t>Размеры и предельные отклонения звеньев приведены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391"/>
        <w:gridCol w:w="3731"/>
        <w:gridCol w:w="3266"/>
      </w:tblGrid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Звено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Тип звена</w:t>
            </w:r>
          </w:p>
        </w:tc>
        <w:tc>
          <w:tcPr>
            <w:tcW w:w="373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Номинальное значение, мм</w:t>
            </w:r>
          </w:p>
        </w:tc>
        <w:tc>
          <w:tcPr>
            <w:tcW w:w="3266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Значение допуска, мм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А1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+</w:t>
            </w:r>
          </w:p>
        </w:tc>
        <w:tc>
          <w:tcPr>
            <w:tcW w:w="3731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178</w:t>
            </w:r>
          </w:p>
        </w:tc>
        <w:tc>
          <w:tcPr>
            <w:tcW w:w="3266" w:type="dxa"/>
          </w:tcPr>
          <w:p w:rsidR="000B7C9E" w:rsidRPr="00133985" w:rsidRDefault="00BA044F" w:rsidP="00CE12B1">
            <w:pPr>
              <w:rPr>
                <w:sz w:val="24"/>
                <w:szCs w:val="28"/>
                <w:lang w:val="en-US"/>
              </w:rPr>
            </w:pPr>
            <w:r w:rsidRPr="00133985">
              <w:rPr>
                <w:sz w:val="24"/>
                <w:szCs w:val="28"/>
              </w:rPr>
              <w:t>0,13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А2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-</w:t>
            </w:r>
          </w:p>
        </w:tc>
        <w:tc>
          <w:tcPr>
            <w:tcW w:w="3731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1,5</w:t>
            </w:r>
          </w:p>
        </w:tc>
        <w:tc>
          <w:tcPr>
            <w:tcW w:w="3266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0,03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А3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  <w:lang w:val="en-US"/>
              </w:rPr>
            </w:pPr>
            <w:r w:rsidRPr="00133985">
              <w:rPr>
                <w:sz w:val="24"/>
                <w:szCs w:val="28"/>
                <w:lang w:val="en-US"/>
              </w:rPr>
              <w:t>-</w:t>
            </w:r>
          </w:p>
        </w:tc>
        <w:tc>
          <w:tcPr>
            <w:tcW w:w="3731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25,5</w:t>
            </w:r>
          </w:p>
        </w:tc>
        <w:tc>
          <w:tcPr>
            <w:tcW w:w="3266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0,</w:t>
            </w:r>
            <w:r w:rsidR="00BA044F" w:rsidRPr="00133985">
              <w:rPr>
                <w:sz w:val="24"/>
                <w:szCs w:val="28"/>
              </w:rPr>
              <w:t>0</w:t>
            </w:r>
            <w:r w:rsidRPr="00133985">
              <w:rPr>
                <w:sz w:val="24"/>
                <w:szCs w:val="28"/>
              </w:rPr>
              <w:t>74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А4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-</w:t>
            </w:r>
          </w:p>
        </w:tc>
        <w:tc>
          <w:tcPr>
            <w:tcW w:w="3731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113</w:t>
            </w:r>
          </w:p>
        </w:tc>
        <w:tc>
          <w:tcPr>
            <w:tcW w:w="3266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0,1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А5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-</w:t>
            </w:r>
          </w:p>
        </w:tc>
        <w:tc>
          <w:tcPr>
            <w:tcW w:w="3731" w:type="dxa"/>
          </w:tcPr>
          <w:p w:rsidR="000B7C9E" w:rsidRPr="00133985" w:rsidRDefault="00BA044F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32</w:t>
            </w:r>
          </w:p>
        </w:tc>
        <w:tc>
          <w:tcPr>
            <w:tcW w:w="3266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0,</w:t>
            </w:r>
            <w:r w:rsidR="00BA044F" w:rsidRPr="00133985">
              <w:rPr>
                <w:sz w:val="24"/>
                <w:szCs w:val="28"/>
              </w:rPr>
              <w:t>0</w:t>
            </w:r>
            <w:r w:rsidRPr="00133985">
              <w:rPr>
                <w:sz w:val="24"/>
                <w:szCs w:val="28"/>
              </w:rPr>
              <w:t>74</w:t>
            </w:r>
          </w:p>
        </w:tc>
      </w:tr>
      <w:tr w:rsidR="000B7C9E" w:rsidRPr="00351113" w:rsidTr="00CE12B1">
        <w:tc>
          <w:tcPr>
            <w:tcW w:w="957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А6</w:t>
            </w:r>
          </w:p>
        </w:tc>
        <w:tc>
          <w:tcPr>
            <w:tcW w:w="1391" w:type="dxa"/>
          </w:tcPr>
          <w:p w:rsidR="000B7C9E" w:rsidRPr="00133985" w:rsidRDefault="000B7C9E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-</w:t>
            </w:r>
          </w:p>
        </w:tc>
        <w:tc>
          <w:tcPr>
            <w:tcW w:w="3731" w:type="dxa"/>
          </w:tcPr>
          <w:p w:rsidR="000B7C9E" w:rsidRPr="00133985" w:rsidRDefault="00F55C00" w:rsidP="00CE12B1">
            <w:pPr>
              <w:rPr>
                <w:sz w:val="24"/>
                <w:szCs w:val="28"/>
              </w:rPr>
            </w:pPr>
            <w:r w:rsidRPr="00133985">
              <w:rPr>
                <w:sz w:val="24"/>
                <w:szCs w:val="28"/>
              </w:rPr>
              <w:t>6</w:t>
            </w:r>
          </w:p>
        </w:tc>
        <w:tc>
          <w:tcPr>
            <w:tcW w:w="3266" w:type="dxa"/>
          </w:tcPr>
          <w:p w:rsidR="000B7C9E" w:rsidRPr="00133985" w:rsidRDefault="000B7C9E" w:rsidP="00CE12B1">
            <w:pPr>
              <w:rPr>
                <w:sz w:val="24"/>
                <w:szCs w:val="28"/>
                <w:lang w:val="en-US"/>
              </w:rPr>
            </w:pPr>
            <w:r w:rsidRPr="00133985">
              <w:rPr>
                <w:sz w:val="24"/>
                <w:szCs w:val="28"/>
                <w:lang w:val="en-US"/>
              </w:rPr>
              <w:t>0,</w:t>
            </w:r>
            <w:r w:rsidR="00BA044F" w:rsidRPr="00133985">
              <w:rPr>
                <w:sz w:val="24"/>
                <w:szCs w:val="28"/>
              </w:rPr>
              <w:t>0</w:t>
            </w:r>
            <w:r w:rsidRPr="00133985">
              <w:rPr>
                <w:sz w:val="24"/>
                <w:szCs w:val="28"/>
                <w:lang w:val="en-US"/>
              </w:rPr>
              <w:t>3</w:t>
            </w:r>
          </w:p>
        </w:tc>
      </w:tr>
    </w:tbl>
    <w:p w:rsidR="00EE336B" w:rsidRDefault="00EE336B" w:rsidP="00FC4148">
      <w:pPr>
        <w:ind w:firstLine="567"/>
        <w:rPr>
          <w:bCs/>
        </w:rPr>
      </w:pPr>
    </w:p>
    <w:p w:rsidR="00EC0C38" w:rsidRPr="00EE336B" w:rsidRDefault="00EC0C38" w:rsidP="00EE336B">
      <w:pPr>
        <w:ind w:firstLine="709"/>
        <w:rPr>
          <w:bCs/>
          <w:sz w:val="24"/>
        </w:rPr>
      </w:pPr>
      <w:r w:rsidRPr="00EE336B">
        <w:rPr>
          <w:bCs/>
          <w:sz w:val="24"/>
        </w:rPr>
        <w:t xml:space="preserve"> </w:t>
      </w:r>
      <w:r w:rsidR="00FC4148" w:rsidRPr="00EE336B">
        <w:rPr>
          <w:sz w:val="24"/>
          <w:szCs w:val="28"/>
        </w:rPr>
        <w:t>Требуется определить толщину прокладки Х для обеспечения предварительного натяга в шарикоподшипниках. Для этого определим увеличивающие и уменьшающие размеры и их допуска. Номинальные значения звеньев, а также допуски приведены на чертеже.</w:t>
      </w:r>
    </w:p>
    <w:p w:rsidR="00F55C00" w:rsidRPr="00FC4148" w:rsidRDefault="008E0DE9" w:rsidP="003A5CCF">
      <w:pPr>
        <w:jc w:val="center"/>
        <w:rPr>
          <w:bCs/>
        </w:rPr>
      </w:pPr>
      <w:r w:rsidRPr="00F55C00">
        <w:rPr>
          <w:bCs/>
          <w:position w:val="-14"/>
          <w:lang w:val="en-US"/>
        </w:rPr>
        <w:object w:dxaOrig="5960" w:dyaOrig="400">
          <v:shape id="_x0000_i1030" type="#_x0000_t75" style="width:297.75pt;height:20.25pt" o:ole="">
            <v:imagedata r:id="rId17" o:title=""/>
          </v:shape>
          <o:OLEObject Type="Embed" ProgID="Equation.DSMT4" ShapeID="_x0000_i1030" DrawAspect="Content" ObjectID="_1494654300" r:id="rId18"/>
        </w:object>
      </w:r>
    </w:p>
    <w:p w:rsidR="00FC4148" w:rsidRPr="00EE336B" w:rsidRDefault="00FC4148" w:rsidP="00EE336B">
      <w:pPr>
        <w:ind w:firstLine="709"/>
        <w:rPr>
          <w:sz w:val="24"/>
          <w:szCs w:val="28"/>
        </w:rPr>
      </w:pPr>
      <w:r w:rsidRPr="00EE336B">
        <w:rPr>
          <w:sz w:val="24"/>
          <w:szCs w:val="28"/>
        </w:rPr>
        <w:t>Вычислим допуск:</w:t>
      </w:r>
    </w:p>
    <w:p w:rsidR="00FC4148" w:rsidRPr="00FC4148" w:rsidRDefault="00FC4148" w:rsidP="003A5CCF">
      <w:pPr>
        <w:ind w:firstLine="567"/>
        <w:jc w:val="center"/>
        <w:rPr>
          <w:sz w:val="28"/>
          <w:szCs w:val="28"/>
          <w:lang w:val="en-US"/>
        </w:rPr>
      </w:pPr>
      <w:r w:rsidRPr="00FC4148">
        <w:rPr>
          <w:position w:val="-14"/>
          <w:sz w:val="28"/>
          <w:szCs w:val="28"/>
        </w:rPr>
        <w:object w:dxaOrig="1740" w:dyaOrig="400">
          <v:shape id="_x0000_i1031" type="#_x0000_t75" style="width:87pt;height:20.25pt" o:ole="">
            <v:imagedata r:id="rId19" o:title=""/>
          </v:shape>
          <o:OLEObject Type="Embed" ProgID="Equation.DSMT4" ShapeID="_x0000_i1031" DrawAspect="Content" ObjectID="_1494654301" r:id="rId20"/>
        </w:object>
      </w:r>
    </w:p>
    <w:p w:rsidR="00FC4148" w:rsidRPr="003A5CCF" w:rsidRDefault="00FC4148" w:rsidP="003A5CCF">
      <w:pPr>
        <w:ind w:firstLine="709"/>
        <w:rPr>
          <w:sz w:val="24"/>
          <w:szCs w:val="28"/>
        </w:rPr>
      </w:pPr>
      <w:r w:rsidRPr="003A5CCF">
        <w:rPr>
          <w:sz w:val="24"/>
          <w:szCs w:val="28"/>
        </w:rPr>
        <w:lastRenderedPageBreak/>
        <w:t>Из полученного результата можно сделать вывод, что при сборке достаточно большой партии приборов могут потребоваться прокладки для обеспечения предварительного натяга. Их суммарная толщина следующая:</w:t>
      </w:r>
    </w:p>
    <w:p w:rsidR="005C279D" w:rsidRPr="00FC4148" w:rsidRDefault="005C279D" w:rsidP="00513A72">
      <w:pPr>
        <w:ind w:firstLine="567"/>
        <w:jc w:val="center"/>
        <w:rPr>
          <w:sz w:val="28"/>
          <w:szCs w:val="28"/>
        </w:rPr>
      </w:pPr>
      <w:r w:rsidRPr="005C279D">
        <w:rPr>
          <w:position w:val="-10"/>
          <w:sz w:val="28"/>
          <w:szCs w:val="28"/>
        </w:rPr>
        <w:object w:dxaOrig="1620" w:dyaOrig="320">
          <v:shape id="_x0000_i1032" type="#_x0000_t75" style="width:81pt;height:15.75pt" o:ole="">
            <v:imagedata r:id="rId21" o:title=""/>
          </v:shape>
          <o:OLEObject Type="Embed" ProgID="Equation.DSMT4" ShapeID="_x0000_i1032" DrawAspect="Content" ObjectID="_1494654302" r:id="rId22"/>
        </w:object>
      </w:r>
    </w:p>
    <w:sectPr w:rsidR="005C279D" w:rsidRPr="00FC4148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88" w:rsidRDefault="008E1188" w:rsidP="009D5F96">
      <w:pPr>
        <w:spacing w:line="240" w:lineRule="auto"/>
      </w:pPr>
      <w:r>
        <w:separator/>
      </w:r>
    </w:p>
  </w:endnote>
  <w:endnote w:type="continuationSeparator" w:id="0">
    <w:p w:rsidR="008E1188" w:rsidRDefault="008E1188" w:rsidP="009D5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076788"/>
      <w:docPartObj>
        <w:docPartGallery w:val="Page Numbers (Bottom of Page)"/>
        <w:docPartUnique/>
      </w:docPartObj>
    </w:sdtPr>
    <w:sdtContent>
      <w:p w:rsidR="009D5F96" w:rsidRDefault="009D5F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5F96" w:rsidRDefault="009D5F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88" w:rsidRDefault="008E1188" w:rsidP="009D5F96">
      <w:pPr>
        <w:spacing w:line="240" w:lineRule="auto"/>
      </w:pPr>
      <w:r>
        <w:separator/>
      </w:r>
    </w:p>
  </w:footnote>
  <w:footnote w:type="continuationSeparator" w:id="0">
    <w:p w:rsidR="008E1188" w:rsidRDefault="008E1188" w:rsidP="009D5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25B"/>
    <w:multiLevelType w:val="singleLevel"/>
    <w:tmpl w:val="6FF693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3"/>
    <w:rsid w:val="000B7C9E"/>
    <w:rsid w:val="00133985"/>
    <w:rsid w:val="00196172"/>
    <w:rsid w:val="001D7B5D"/>
    <w:rsid w:val="00205DD3"/>
    <w:rsid w:val="00267C05"/>
    <w:rsid w:val="003A5CCF"/>
    <w:rsid w:val="003F0853"/>
    <w:rsid w:val="00464B5A"/>
    <w:rsid w:val="00513A72"/>
    <w:rsid w:val="005B6B0E"/>
    <w:rsid w:val="005C279D"/>
    <w:rsid w:val="00674783"/>
    <w:rsid w:val="00857DF8"/>
    <w:rsid w:val="008E0DE9"/>
    <w:rsid w:val="008E1188"/>
    <w:rsid w:val="00933AEB"/>
    <w:rsid w:val="009816D8"/>
    <w:rsid w:val="009D529E"/>
    <w:rsid w:val="009D5F96"/>
    <w:rsid w:val="00AC05B9"/>
    <w:rsid w:val="00AF1D94"/>
    <w:rsid w:val="00BA044F"/>
    <w:rsid w:val="00CE19FE"/>
    <w:rsid w:val="00D52E97"/>
    <w:rsid w:val="00EC0C38"/>
    <w:rsid w:val="00EE336B"/>
    <w:rsid w:val="00EF5ACD"/>
    <w:rsid w:val="00F02C61"/>
    <w:rsid w:val="00F03D61"/>
    <w:rsid w:val="00F55C00"/>
    <w:rsid w:val="00F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AFF64-5CBF-4DC3-8A1F-AF7B0EA0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38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0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0C3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0C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0C38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C0C38"/>
    <w:pPr>
      <w:spacing w:after="120" w:line="240" w:lineRule="auto"/>
      <w:jc w:val="left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C0C3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B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5F9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F9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5F9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F9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9832-6CAB-44F4-B347-6747BAB2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Битюцких</dc:creator>
  <cp:keywords/>
  <dc:description/>
  <cp:lastModifiedBy>Дмитрий Битюцких</cp:lastModifiedBy>
  <cp:revision>26</cp:revision>
  <dcterms:created xsi:type="dcterms:W3CDTF">2015-05-24T15:47:00Z</dcterms:created>
  <dcterms:modified xsi:type="dcterms:W3CDTF">2015-06-01T05:52:00Z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